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right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Sevilla, 23 junio de 2023</w:t>
      </w:r>
    </w:p>
    <w:p w:rsidR="00000000" w:rsidDel="00000000" w:rsidP="00000000" w:rsidRDefault="00000000" w:rsidRPr="00000000" w14:paraId="00000002">
      <w:pPr>
        <w:jc w:val="right"/>
        <w:rPr>
          <w:rFonts w:ascii="Poppins" w:cs="Poppins" w:eastAsia="Poppins" w:hAnsi="Poppins"/>
          <w:b w:val="1"/>
          <w:u w:val="single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rFonts w:ascii="Poppins" w:cs="Poppins" w:eastAsia="Poppins" w:hAnsi="Poppins"/>
          <w:b w:val="1"/>
          <w:u w:val="single"/>
        </w:rPr>
      </w:pPr>
      <w:r w:rsidDel="00000000" w:rsidR="00000000" w:rsidRPr="00000000">
        <w:rPr>
          <w:rFonts w:ascii="Poppins" w:cs="Poppins" w:eastAsia="Poppins" w:hAnsi="Poppins"/>
          <w:b w:val="1"/>
          <w:u w:val="single"/>
          <w:rtl w:val="0"/>
        </w:rPr>
        <w:t xml:space="preserve">FESTIVAL INTERNACIONAL DE DANZA DE ITÁLICA 2023</w:t>
      </w:r>
    </w:p>
    <w:p w:rsidR="00000000" w:rsidDel="00000000" w:rsidP="00000000" w:rsidRDefault="00000000" w:rsidRPr="00000000" w14:paraId="00000004">
      <w:pPr>
        <w:spacing w:line="276" w:lineRule="auto"/>
        <w:jc w:val="center"/>
        <w:rPr>
          <w:rFonts w:ascii="Poppins" w:cs="Poppins" w:eastAsia="Poppins" w:hAnsi="Poppins"/>
          <w:b w:val="1"/>
          <w:u w:val="single"/>
        </w:rPr>
      </w:pPr>
      <w:r w:rsidDel="00000000" w:rsidR="00000000" w:rsidRPr="00000000">
        <w:rPr>
          <w:rFonts w:ascii="Poppins" w:cs="Poppins" w:eastAsia="Poppins" w:hAnsi="Poppins"/>
          <w:b w:val="1"/>
          <w:u w:val="single"/>
          <w:rtl w:val="0"/>
        </w:rPr>
        <w:t xml:space="preserve">CONVOCATORIA DE PRENSA</w:t>
      </w:r>
    </w:p>
    <w:p w:rsidR="00000000" w:rsidDel="00000000" w:rsidP="00000000" w:rsidRDefault="00000000" w:rsidRPr="00000000" w14:paraId="00000005">
      <w:pPr>
        <w:jc w:val="center"/>
        <w:rPr>
          <w:rFonts w:ascii="Poppins" w:cs="Poppins" w:eastAsia="Poppins" w:hAnsi="Poppins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jc w:val="both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El próximo </w:t>
      </w:r>
      <w:r w:rsidDel="00000000" w:rsidR="00000000" w:rsidRPr="00000000">
        <w:rPr>
          <w:rFonts w:ascii="Poppins" w:cs="Poppins" w:eastAsia="Poppins" w:hAnsi="Poppins"/>
          <w:b w:val="1"/>
          <w:rtl w:val="0"/>
        </w:rPr>
        <w:t xml:space="preserve">lunes 26 de junio, a las 10,30 horas</w:t>
      </w:r>
      <w:r w:rsidDel="00000000" w:rsidR="00000000" w:rsidRPr="00000000">
        <w:rPr>
          <w:rFonts w:ascii="Poppins" w:cs="Poppins" w:eastAsia="Poppins" w:hAnsi="Poppins"/>
          <w:rtl w:val="0"/>
        </w:rPr>
        <w:t xml:space="preserve"> tendrá lugar la presentación de la programación prevista en </w:t>
      </w:r>
      <w:r w:rsidDel="00000000" w:rsidR="00000000" w:rsidRPr="00000000">
        <w:rPr>
          <w:rFonts w:ascii="Poppins" w:cs="Poppins" w:eastAsia="Poppins" w:hAnsi="Poppins"/>
          <w:b w:val="1"/>
          <w:rtl w:val="0"/>
        </w:rPr>
        <w:t xml:space="preserve">Cortijo de Cuarto</w:t>
      </w:r>
      <w:r w:rsidDel="00000000" w:rsidR="00000000" w:rsidRPr="00000000">
        <w:rPr>
          <w:rFonts w:ascii="Poppins" w:cs="Poppins" w:eastAsia="Poppins" w:hAnsi="Poppins"/>
          <w:rtl w:val="0"/>
        </w:rPr>
        <w:t xml:space="preserve">, escenario que, por primera vez en el Festival Internacional de Danza de Itálica, acogerá seis propuestas. En el acto contaremos con la representación de varias de las compañías participantes como </w:t>
      </w:r>
      <w:r w:rsidDel="00000000" w:rsidR="00000000" w:rsidRPr="00000000">
        <w:rPr>
          <w:rFonts w:ascii="Poppins" w:cs="Poppins" w:eastAsia="Poppins" w:hAnsi="Poppins"/>
          <w:b w:val="1"/>
          <w:rtl w:val="0"/>
        </w:rPr>
        <w:t xml:space="preserve">Lali Ayguadé, Teatro del Velador, Fernando Romero, y </w:t>
      </w:r>
      <w:r w:rsidDel="00000000" w:rsidR="00000000" w:rsidRPr="00000000">
        <w:rPr>
          <w:rFonts w:ascii="Poppins" w:cs="Poppins" w:eastAsia="Poppins" w:hAnsi="Poppins"/>
          <w:b w:val="1"/>
          <w:rtl w:val="0"/>
        </w:rPr>
        <w:t xml:space="preserve">Florencia Oz</w:t>
      </w:r>
      <w:r w:rsidDel="00000000" w:rsidR="00000000" w:rsidRPr="00000000">
        <w:rPr>
          <w:rFonts w:ascii="Poppins" w:cs="Poppins" w:eastAsia="Poppins" w:hAnsi="Poppins"/>
          <w:rtl w:val="0"/>
        </w:rPr>
        <w:t xml:space="preserve">.</w:t>
      </w:r>
    </w:p>
    <w:p w:rsidR="00000000" w:rsidDel="00000000" w:rsidP="00000000" w:rsidRDefault="00000000" w:rsidRPr="00000000" w14:paraId="00000008">
      <w:pPr>
        <w:spacing w:line="276" w:lineRule="auto"/>
        <w:jc w:val="both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jc w:val="both"/>
        <w:rPr>
          <w:rFonts w:ascii="Poppins" w:cs="Poppins" w:eastAsia="Poppins" w:hAnsi="Poppins"/>
          <w:b w:val="1"/>
        </w:rPr>
      </w:pPr>
      <w:r w:rsidDel="00000000" w:rsidR="00000000" w:rsidRPr="00000000">
        <w:rPr>
          <w:rFonts w:ascii="Poppins" w:cs="Poppins" w:eastAsia="Poppins" w:hAnsi="Poppins"/>
          <w:b w:val="1"/>
          <w:rtl w:val="0"/>
        </w:rPr>
        <w:t xml:space="preserve">Asunto: Presentación de la programación del Festival Internacional de Danza de Itálica 2023 en Cortijo de Cuarto. </w:t>
      </w:r>
    </w:p>
    <w:p w:rsidR="00000000" w:rsidDel="00000000" w:rsidP="00000000" w:rsidRDefault="00000000" w:rsidRPr="00000000" w14:paraId="0000000B">
      <w:pPr>
        <w:spacing w:line="276" w:lineRule="auto"/>
        <w:jc w:val="both"/>
        <w:rPr>
          <w:rFonts w:ascii="Poppins" w:cs="Poppins" w:eastAsia="Poppins" w:hAnsi="Poppins"/>
          <w:b w:val="1"/>
        </w:rPr>
      </w:pPr>
      <w:r w:rsidDel="00000000" w:rsidR="00000000" w:rsidRPr="00000000">
        <w:rPr>
          <w:rFonts w:ascii="Poppins" w:cs="Poppins" w:eastAsia="Poppins" w:hAnsi="Poppins"/>
          <w:b w:val="1"/>
          <w:rtl w:val="0"/>
        </w:rPr>
        <w:t xml:space="preserve">Día: lunes 26 de junio 2023</w:t>
      </w:r>
    </w:p>
    <w:p w:rsidR="00000000" w:rsidDel="00000000" w:rsidP="00000000" w:rsidRDefault="00000000" w:rsidRPr="00000000" w14:paraId="0000000C">
      <w:pPr>
        <w:spacing w:line="276" w:lineRule="auto"/>
        <w:jc w:val="both"/>
        <w:rPr>
          <w:rFonts w:ascii="Poppins" w:cs="Poppins" w:eastAsia="Poppins" w:hAnsi="Poppins"/>
          <w:b w:val="1"/>
        </w:rPr>
      </w:pPr>
      <w:r w:rsidDel="00000000" w:rsidR="00000000" w:rsidRPr="00000000">
        <w:rPr>
          <w:rFonts w:ascii="Poppins" w:cs="Poppins" w:eastAsia="Poppins" w:hAnsi="Poppins"/>
          <w:b w:val="1"/>
          <w:rtl w:val="0"/>
        </w:rPr>
        <w:t xml:space="preserve">Hora: 10,30 horas</w:t>
      </w:r>
    </w:p>
    <w:p w:rsidR="00000000" w:rsidDel="00000000" w:rsidP="00000000" w:rsidRDefault="00000000" w:rsidRPr="00000000" w14:paraId="0000000D">
      <w:pPr>
        <w:spacing w:line="276" w:lineRule="auto"/>
        <w:jc w:val="both"/>
        <w:rPr>
          <w:rFonts w:ascii="Poppins" w:cs="Poppins" w:eastAsia="Poppins" w:hAnsi="Poppins"/>
          <w:b w:val="1"/>
        </w:rPr>
      </w:pPr>
      <w:r w:rsidDel="00000000" w:rsidR="00000000" w:rsidRPr="00000000">
        <w:rPr>
          <w:rFonts w:ascii="Poppins" w:cs="Poppins" w:eastAsia="Poppins" w:hAnsi="Poppins"/>
          <w:b w:val="1"/>
          <w:rtl w:val="0"/>
        </w:rPr>
        <w:t xml:space="preserve">Lugar:</w:t>
      </w:r>
      <w:r w:rsidDel="00000000" w:rsidR="00000000" w:rsidRPr="00000000">
        <w:rPr>
          <w:rFonts w:ascii="Poppins" w:cs="Poppins" w:eastAsia="Poppins" w:hAnsi="Poppins"/>
          <w:b w:val="1"/>
          <w:rtl w:val="0"/>
        </w:rPr>
        <w:t xml:space="preserve"> Diputación de Sevilla (</w:t>
      </w:r>
      <w:hyperlink r:id="rId7">
        <w:r w:rsidDel="00000000" w:rsidR="00000000" w:rsidRPr="00000000">
          <w:rPr>
            <w:rFonts w:ascii="Poppins" w:cs="Poppins" w:eastAsia="Poppins" w:hAnsi="Poppins"/>
            <w:b w:val="1"/>
            <w:rtl w:val="0"/>
          </w:rPr>
          <w:t xml:space="preserve">Avda. de Menéndez Pelayo</w:t>
        </w:r>
      </w:hyperlink>
      <w:r w:rsidDel="00000000" w:rsidR="00000000" w:rsidRPr="00000000">
        <w:rPr>
          <w:rFonts w:ascii="Poppins" w:cs="Poppins" w:eastAsia="Poppins" w:hAnsi="Poppins"/>
          <w:b w:val="1"/>
          <w:rtl w:val="0"/>
        </w:rPr>
        <w:t xml:space="preserve">, 32; </w:t>
      </w:r>
      <w:hyperlink r:id="rId8">
        <w:r w:rsidDel="00000000" w:rsidR="00000000" w:rsidRPr="00000000">
          <w:rPr>
            <w:rFonts w:ascii="Poppins" w:cs="Poppins" w:eastAsia="Poppins" w:hAnsi="Poppins"/>
            <w:b w:val="1"/>
            <w:rtl w:val="0"/>
          </w:rPr>
          <w:t xml:space="preserve">Sevilla</w:t>
        </w:r>
      </w:hyperlink>
      <w:r w:rsidDel="00000000" w:rsidR="00000000" w:rsidRPr="00000000">
        <w:rPr>
          <w:rFonts w:ascii="Poppins" w:cs="Poppins" w:eastAsia="Poppins" w:hAnsi="Poppins"/>
          <w:b w:val="1"/>
          <w:rtl w:val="0"/>
        </w:rPr>
        <w:t xml:space="preserve">)</w:t>
      </w:r>
    </w:p>
    <w:p w:rsidR="00000000" w:rsidDel="00000000" w:rsidP="00000000" w:rsidRDefault="00000000" w:rsidRPr="00000000" w14:paraId="0000000E">
      <w:pPr>
        <w:spacing w:line="276" w:lineRule="auto"/>
        <w:jc w:val="both"/>
        <w:rPr>
          <w:rFonts w:ascii="Poppins" w:cs="Poppins" w:eastAsia="Poppins" w:hAnsi="Poppins"/>
          <w:b w:val="1"/>
        </w:rPr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38" w:w="11906" w:orient="portrait"/>
      <w:pgMar w:bottom="1887" w:top="3073" w:left="1134" w:right="1134" w:header="1134" w:footer="85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Poppi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8"/>
        <w:tab w:val="right" w:leader="none" w:pos="9637"/>
      </w:tabs>
      <w:rPr>
        <w:rFonts w:ascii="Poppins" w:cs="Poppins" w:eastAsia="Poppins" w:hAnsi="Poppins"/>
        <w:b w:val="1"/>
        <w:color w:val="000000"/>
        <w:sz w:val="14"/>
        <w:szCs w:val="14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5316855</wp:posOffset>
          </wp:positionH>
          <wp:positionV relativeFrom="paragraph">
            <wp:posOffset>100330</wp:posOffset>
          </wp:positionV>
          <wp:extent cx="808990" cy="271780"/>
          <wp:effectExtent b="0" l="0" r="0" t="0"/>
          <wp:wrapTopAndBottom distB="0" distT="0"/>
          <wp:docPr id="16" name="image4.jpg"/>
          <a:graphic>
            <a:graphicData uri="http://schemas.openxmlformats.org/drawingml/2006/picture">
              <pic:pic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08990" cy="27178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4998085</wp:posOffset>
          </wp:positionH>
          <wp:positionV relativeFrom="paragraph">
            <wp:posOffset>97790</wp:posOffset>
          </wp:positionV>
          <wp:extent cx="282575" cy="282575"/>
          <wp:effectExtent b="0" l="0" r="0" t="0"/>
          <wp:wrapTopAndBottom distB="0" distT="0"/>
          <wp:docPr id="18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82575" cy="2825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4359910</wp:posOffset>
          </wp:positionH>
          <wp:positionV relativeFrom="paragraph">
            <wp:posOffset>85090</wp:posOffset>
          </wp:positionV>
          <wp:extent cx="252095" cy="287655"/>
          <wp:effectExtent b="0" l="0" r="0" t="0"/>
          <wp:wrapTopAndBottom distB="0" distT="0"/>
          <wp:docPr id="17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2095" cy="28765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4645660</wp:posOffset>
          </wp:positionH>
          <wp:positionV relativeFrom="paragraph">
            <wp:posOffset>88265</wp:posOffset>
          </wp:positionV>
          <wp:extent cx="302260" cy="284480"/>
          <wp:effectExtent b="0" l="0" r="0" t="0"/>
          <wp:wrapTopAndBottom distB="0" distT="0"/>
          <wp:docPr id="14" name="image6.jpg"/>
          <a:graphic>
            <a:graphicData uri="http://schemas.openxmlformats.org/drawingml/2006/picture">
              <pic:pic>
                <pic:nvPicPr>
                  <pic:cNvPr id="0" name="image6.jp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02260" cy="28448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4037965</wp:posOffset>
          </wp:positionH>
          <wp:positionV relativeFrom="paragraph">
            <wp:posOffset>92710</wp:posOffset>
          </wp:positionV>
          <wp:extent cx="283845" cy="277495"/>
          <wp:effectExtent b="0" l="0" r="0" t="0"/>
          <wp:wrapTopAndBottom distB="0" distT="0"/>
          <wp:docPr id="13" name="image5.jpg"/>
          <a:graphic>
            <a:graphicData uri="http://schemas.openxmlformats.org/drawingml/2006/picture">
              <pic:pic>
                <pic:nvPicPr>
                  <pic:cNvPr id="0" name="image5.jpg"/>
                  <pic:cNvPicPr preferRelativeResize="0"/>
                </pic:nvPicPr>
                <pic:blipFill>
                  <a:blip r:embed="rId5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83845" cy="277495"/>
                  </a:xfrm>
                  <a:prstGeom prst="rect"/>
                  <a:ln/>
                </pic:spPr>
              </pic:pic>
            </a:graphicData>
          </a:graphic>
        </wp:anchor>
      </w:drawing>
    </w:r>
  </w:p>
  <w:tbl>
    <w:tblPr>
      <w:tblStyle w:val="Table1"/>
      <w:tblW w:w="9638.0" w:type="dxa"/>
      <w:jc w:val="left"/>
      <w:tblLayout w:type="fixed"/>
      <w:tblLook w:val="0000"/>
    </w:tblPr>
    <w:tblGrid>
      <w:gridCol w:w="3212"/>
      <w:gridCol w:w="3213"/>
      <w:gridCol w:w="3213"/>
      <w:tblGridChange w:id="0">
        <w:tblGrid>
          <w:gridCol w:w="3212"/>
          <w:gridCol w:w="3213"/>
          <w:gridCol w:w="3213"/>
        </w:tblGrid>
      </w:tblGridChange>
    </w:tblGrid>
    <w:tr>
      <w:trPr>
        <w:cantSplit w:val="0"/>
        <w:trHeight w:val="256" w:hRule="atLeast"/>
        <w:tblHeader w:val="0"/>
      </w:trPr>
      <w:tc>
        <w:tcPr>
          <w:shd w:fill="auto" w:val="clear"/>
        </w:tcPr>
        <w:p w:rsidR="00000000" w:rsidDel="00000000" w:rsidP="00000000" w:rsidRDefault="00000000" w:rsidRPr="00000000" w14:paraId="00000012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818"/>
              <w:tab w:val="right" w:leader="none" w:pos="9637"/>
            </w:tabs>
            <w:jc w:val="center"/>
            <w:rPr>
              <w:rFonts w:ascii="Poppins" w:cs="Poppins" w:eastAsia="Poppins" w:hAnsi="Poppins"/>
              <w:b w:val="1"/>
              <w:i w:val="1"/>
              <w:color w:val="000000"/>
              <w:sz w:val="14"/>
              <w:szCs w:val="14"/>
            </w:rPr>
          </w:pPr>
          <w:r w:rsidDel="00000000" w:rsidR="00000000" w:rsidRPr="00000000">
            <w:rPr>
              <w:rFonts w:ascii="Poppins" w:cs="Poppins" w:eastAsia="Poppins" w:hAnsi="Poppins"/>
              <w:b w:val="1"/>
              <w:i w:val="1"/>
              <w:color w:val="000000"/>
              <w:sz w:val="14"/>
              <w:szCs w:val="14"/>
              <w:rtl w:val="0"/>
            </w:rPr>
            <w:t xml:space="preserve">Gabinete de Comunicación</w:t>
          </w:r>
        </w:p>
        <w:p w:rsidR="00000000" w:rsidDel="00000000" w:rsidP="00000000" w:rsidRDefault="00000000" w:rsidRPr="00000000" w14:paraId="00000013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818"/>
              <w:tab w:val="right" w:leader="none" w:pos="9637"/>
            </w:tabs>
            <w:jc w:val="center"/>
            <w:rPr>
              <w:rFonts w:ascii="Poppins" w:cs="Poppins" w:eastAsia="Poppins" w:hAnsi="Poppins"/>
              <w:b w:val="1"/>
              <w:i w:val="1"/>
              <w:color w:val="000000"/>
              <w:sz w:val="14"/>
              <w:szCs w:val="14"/>
            </w:rPr>
          </w:pPr>
          <w:r w:rsidDel="00000000" w:rsidR="00000000" w:rsidRPr="00000000">
            <w:rPr>
              <w:rFonts w:ascii="Poppins" w:cs="Poppins" w:eastAsia="Poppins" w:hAnsi="Poppins"/>
              <w:b w:val="1"/>
              <w:i w:val="1"/>
              <w:color w:val="000000"/>
              <w:sz w:val="14"/>
              <w:szCs w:val="14"/>
              <w:rtl w:val="0"/>
            </w:rPr>
            <w:t xml:space="preserve">Diputación de Sevilla</w:t>
          </w:r>
        </w:p>
      </w:tc>
      <w:tc>
        <w:tcPr>
          <w:shd w:fill="auto" w:val="clear"/>
        </w:tcPr>
        <w:p w:rsidR="00000000" w:rsidDel="00000000" w:rsidP="00000000" w:rsidRDefault="00000000" w:rsidRPr="00000000" w14:paraId="00000014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818"/>
              <w:tab w:val="right" w:leader="none" w:pos="9637"/>
            </w:tabs>
            <w:jc w:val="center"/>
            <w:rPr>
              <w:color w:val="000000"/>
            </w:rPr>
          </w:pPr>
          <w:r w:rsidDel="00000000" w:rsidR="00000000" w:rsidRPr="00000000">
            <w:rPr>
              <w:rFonts w:ascii="Poppins" w:cs="Poppins" w:eastAsia="Poppins" w:hAnsi="Poppins"/>
              <w:b w:val="1"/>
              <w:i w:val="1"/>
              <w:color w:val="000000"/>
              <w:sz w:val="14"/>
              <w:szCs w:val="14"/>
              <w:rtl w:val="0"/>
            </w:rPr>
            <w:t xml:space="preserve">Av. Menéndez Pelayo, 32 41071</w:t>
            <w:br w:type="textWrapping"/>
            <w:t xml:space="preserve">954 55 24 09  comunicacion@dipusevilla.es</w:t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</w:tcPr>
        <w:p w:rsidR="00000000" w:rsidDel="00000000" w:rsidP="00000000" w:rsidRDefault="00000000" w:rsidRPr="00000000" w14:paraId="00000015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jc w:val="center"/>
            <w:rPr>
              <w:color w:val="000000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8"/>
        <w:tab w:val="right" w:leader="none" w:pos="9637"/>
      </w:tabs>
      <w:jc w:val="center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8"/>
        <w:tab w:val="right" w:leader="none" w:pos="9637"/>
      </w:tabs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-16508</wp:posOffset>
          </wp:positionH>
          <wp:positionV relativeFrom="paragraph">
            <wp:posOffset>15240</wp:posOffset>
          </wp:positionV>
          <wp:extent cx="2274570" cy="1062990"/>
          <wp:effectExtent b="0" l="0" r="0" t="0"/>
          <wp:wrapTopAndBottom distB="0" distT="0"/>
          <wp:docPr id="15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74570" cy="106299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8"/>
        <w:tab w:val="right" w:leader="none" w:pos="9637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spacing w:after="120" w:before="240" w:lineRule="auto"/>
      <w:ind w:left="2160" w:hanging="720"/>
    </w:pPr>
    <w:rPr>
      <w:rFonts w:ascii="Times New Roman" w:cs="Times New Roman" w:eastAsia="Times New Roman" w:hAnsi="Times New Roman"/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uppressAutoHyphens w:val="1"/>
    </w:pPr>
    <w:rPr>
      <w:rFonts w:eastAsia="Arial Unicode MS"/>
      <w:kern w:val="1"/>
      <w:lang w:eastAsia="ar-SA"/>
    </w:rPr>
  </w:style>
  <w:style w:type="paragraph" w:styleId="Ttulo1">
    <w:name w:val="heading 1"/>
    <w:basedOn w:val="Normal"/>
    <w:next w:val="Normal"/>
    <w:link w:val="Ttulo1Car"/>
    <w:uiPriority w:val="9"/>
    <w:qFormat w:val="1"/>
    <w:rsid w:val="00545F76"/>
    <w:pPr>
      <w:keepNext w:val="1"/>
      <w:keepLines w:val="1"/>
      <w:spacing w:before="240"/>
      <w:outlineLvl w:val="0"/>
    </w:pPr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Encabezado2"/>
    <w:next w:val="Textoindependiente"/>
    <w:uiPriority w:val="9"/>
    <w:semiHidden w:val="1"/>
    <w:unhideWhenUsed w:val="1"/>
    <w:qFormat w:val="1"/>
    <w:pPr>
      <w:numPr>
        <w:ilvl w:val="2"/>
        <w:numId w:val="1"/>
      </w:numPr>
      <w:outlineLvl w:val="2"/>
    </w:pPr>
    <w:rPr>
      <w:rFonts w:ascii="Times New Roman" w:eastAsia="SimSun" w:hAnsi="Times New Roman"/>
      <w:b w:val="1"/>
      <w:bCs w:val="1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Fuentedeprrafopredeter1" w:customStyle="1">
    <w:name w:val="Fuente de párrafo predeter.1"/>
  </w:style>
  <w:style w:type="character" w:styleId="Hipervnculo">
    <w:name w:val="Hyperlink"/>
    <w:rPr>
      <w:color w:val="000080"/>
      <w:u w:val="single"/>
    </w:rPr>
  </w:style>
  <w:style w:type="character" w:styleId="Textoennegrita">
    <w:name w:val="Strong"/>
    <w:qFormat w:val="1"/>
    <w:rPr>
      <w:b w:val="1"/>
      <w:bCs w:val="1"/>
    </w:rPr>
  </w:style>
  <w:style w:type="paragraph" w:styleId="Encabezado2" w:customStyle="1">
    <w:name w:val="Encabezado2"/>
    <w:basedOn w:val="Normal"/>
    <w:next w:val="Textoindependiente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styleId="Etiqueta" w:customStyle="1">
    <w:name w:val="Etiqueta"/>
    <w:basedOn w:val="Normal"/>
    <w:pPr>
      <w:suppressLineNumbers w:val="1"/>
      <w:spacing w:after="120" w:before="120"/>
    </w:pPr>
    <w:rPr>
      <w:rFonts w:cs="Tahoma"/>
      <w:i w:val="1"/>
      <w:iCs w:val="1"/>
    </w:rPr>
  </w:style>
  <w:style w:type="paragraph" w:styleId="ndice" w:customStyle="1">
    <w:name w:val="Índice"/>
    <w:basedOn w:val="Normal"/>
    <w:pPr>
      <w:suppressLineNumbers w:val="1"/>
    </w:pPr>
    <w:rPr>
      <w:rFonts w:cs="Tahoma"/>
    </w:rPr>
  </w:style>
  <w:style w:type="paragraph" w:styleId="Encabezado1" w:customStyle="1">
    <w:name w:val="Encabezado1"/>
    <w:basedOn w:val="Normal"/>
    <w:next w:val="Textoindependiente"/>
    <w:pPr>
      <w:keepNext w:val="1"/>
      <w:spacing w:after="120" w:before="240"/>
    </w:pPr>
    <w:rPr>
      <w:rFonts w:ascii="Arial" w:cs="Tahoma" w:hAnsi="Arial"/>
      <w:sz w:val="28"/>
      <w:szCs w:val="28"/>
    </w:rPr>
  </w:style>
  <w:style w:type="paragraph" w:styleId="Piedepgina">
    <w:name w:val="footer"/>
    <w:basedOn w:val="Normal"/>
    <w:pPr>
      <w:suppressLineNumbers w:val="1"/>
      <w:tabs>
        <w:tab w:val="center" w:pos="4818"/>
        <w:tab w:val="right" w:pos="9637"/>
      </w:tabs>
    </w:pPr>
  </w:style>
  <w:style w:type="paragraph" w:styleId="Encabezado">
    <w:name w:val="header"/>
    <w:basedOn w:val="Normal"/>
    <w:pPr>
      <w:suppressLineNumbers w:val="1"/>
      <w:tabs>
        <w:tab w:val="center" w:pos="4818"/>
        <w:tab w:val="right" w:pos="9637"/>
      </w:tabs>
    </w:pPr>
  </w:style>
  <w:style w:type="paragraph" w:styleId="Contenidodelatabla" w:customStyle="1">
    <w:name w:val="Contenido de la tabla"/>
    <w:basedOn w:val="Normal"/>
    <w:pPr>
      <w:suppressLineNumbers w:val="1"/>
    </w:pPr>
  </w:style>
  <w:style w:type="paragraph" w:styleId="Piedepginaderecho" w:customStyle="1">
    <w:name w:val="Pie de página derecho"/>
    <w:basedOn w:val="Normal"/>
    <w:pPr>
      <w:suppressLineNumbers w:val="1"/>
      <w:tabs>
        <w:tab w:val="center" w:pos="4818"/>
        <w:tab w:val="right" w:pos="9637"/>
      </w:tabs>
    </w:pPr>
  </w:style>
  <w:style w:type="paragraph" w:styleId="Piedepginaizquierdo" w:customStyle="1">
    <w:name w:val="Pie de página izquierdo"/>
    <w:basedOn w:val="Normal"/>
    <w:pPr>
      <w:suppressLineNumbers w:val="1"/>
      <w:tabs>
        <w:tab w:val="center" w:pos="4818"/>
        <w:tab w:val="right" w:pos="9637"/>
      </w:tabs>
    </w:pPr>
  </w:style>
  <w:style w:type="paragraph" w:styleId="NormalWeb">
    <w:name w:val="Normal (Web)"/>
    <w:basedOn w:val="Normal"/>
    <w:pPr>
      <w:widowControl w:val="1"/>
      <w:suppressAutoHyphens w:val="0"/>
      <w:spacing w:after="119" w:before="100"/>
    </w:pPr>
    <w:rPr>
      <w:rFonts w:eastAsia="Times New Roman"/>
    </w:rPr>
  </w:style>
  <w:style w:type="paragraph" w:styleId="Encabezadodelatabla" w:customStyle="1">
    <w:name w:val="Encabezado de la tabla"/>
    <w:basedOn w:val="Contenidodelatabla"/>
    <w:pPr>
      <w:jc w:val="center"/>
    </w:pPr>
    <w:rPr>
      <w:b w:val="1"/>
      <w:bCs w:val="1"/>
    </w:rPr>
  </w:style>
  <w:style w:type="paragraph" w:styleId="Sinespaciado1" w:customStyle="1">
    <w:name w:val="Sin espaciado1"/>
    <w:pPr>
      <w:suppressAutoHyphens w:val="1"/>
      <w:spacing w:line="100" w:lineRule="atLeast"/>
    </w:pPr>
    <w:rPr>
      <w:rFonts w:cs="Mangal" w:eastAsia="SimSun"/>
      <w:kern w:val="1"/>
      <w:lang w:bidi="hi-IN" w:eastAsia="hi-IN"/>
    </w:rPr>
  </w:style>
  <w:style w:type="character" w:styleId="Ttulo1Car" w:customStyle="1">
    <w:name w:val="Título 1 Car"/>
    <w:basedOn w:val="Fuentedeprrafopredeter"/>
    <w:link w:val="Ttulo1"/>
    <w:uiPriority w:val="9"/>
    <w:rsid w:val="00545F76"/>
    <w:rPr>
      <w:rFonts w:asciiTheme="majorHAnsi" w:cstheme="majorBidi" w:eastAsiaTheme="majorEastAsia" w:hAnsiTheme="majorHAnsi"/>
      <w:color w:val="2f5496" w:themeColor="accent1" w:themeShade="0000BF"/>
      <w:kern w:val="1"/>
      <w:sz w:val="32"/>
      <w:szCs w:val="32"/>
      <w:lang w:eastAsia="ar-SA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google.com/search?client=safari&amp;rls=en&amp;biw=1349&amp;bih=732&amp;sxsrf=APwXEddARRYccSIPqBg0_V8Rin55jZIcfw:1686836568794&amp;q=Avenida+de+Men%C3%A9ndez+Pelayo&amp;stick=H4sIAAAAAAAAAONgVuLWT9c3LEkztTRJM1vEKu1YlpqXmZKokJKq4Juad3hlXkpqlUJAak5iZT4ARLak-y0AAAA&amp;sa=X&amp;ved=2ahUKEwjogOjzs8X_AhX0i_0HHR0hDo4QmxMoAXoECF0QAw" TargetMode="External"/><Relationship Id="rId8" Type="http://schemas.openxmlformats.org/officeDocument/2006/relationships/hyperlink" Target="https://www.google.com/search?client=safari&amp;rls=en&amp;biw=1349&amp;bih=732&amp;sxsrf=APwXEddARRYccSIPqBg0_V8Rin55jZIcfw:1686836568794&amp;q=Sevilla&amp;stick=H4sIAAAAAAAAAONgVuLQz9U3sEwzTl7Eyh6cWpaZk5MIANfAlwgWAAAA&amp;sa=X&amp;ved=2ahUKEwjogOjzs8X_AhX0i_0HHR0hDo4QmxMoAnoECF0QBA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oppins-regular.ttf"/><Relationship Id="rId2" Type="http://schemas.openxmlformats.org/officeDocument/2006/relationships/font" Target="fonts/Poppins-bold.ttf"/><Relationship Id="rId3" Type="http://schemas.openxmlformats.org/officeDocument/2006/relationships/font" Target="fonts/Poppins-italic.ttf"/><Relationship Id="rId4" Type="http://schemas.openxmlformats.org/officeDocument/2006/relationships/font" Target="fonts/Poppi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jpg"/><Relationship Id="rId2" Type="http://schemas.openxmlformats.org/officeDocument/2006/relationships/image" Target="media/image2.jpg"/><Relationship Id="rId3" Type="http://schemas.openxmlformats.org/officeDocument/2006/relationships/image" Target="media/image1.jpg"/><Relationship Id="rId4" Type="http://schemas.openxmlformats.org/officeDocument/2006/relationships/image" Target="media/image6.jpg"/><Relationship Id="rId5" Type="http://schemas.openxmlformats.org/officeDocument/2006/relationships/image" Target="media/image5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+FSy6FxxPrM8BIRGscn0dXJMSvQ==">CgMxLjA4AHIhMVFYVUtJaU9TLXV2RVo3UVZjaUxPTEhERHdnX1JmeXhT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2019-07-11T10:35:00Z</dcterms:created>
  <dc:creator>usuario</dc:creator>
</cp:coreProperties>
</file>